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1060" w14:textId="77777777" w:rsidR="00EA1102" w:rsidRDefault="00EA1102" w:rsidP="00EA1102">
      <w:pPr>
        <w:jc w:val="center"/>
        <w:rPr>
          <w:rFonts w:ascii="Arial" w:hAnsi="Arial" w:cs="Arial"/>
          <w:b/>
          <w:color w:val="0A1D30" w:themeColor="text2" w:themeShade="BF"/>
          <w:sz w:val="28"/>
          <w:szCs w:val="28"/>
        </w:rPr>
      </w:pPr>
      <w:r w:rsidRPr="00A97AF2">
        <w:rPr>
          <w:rFonts w:ascii="Arial" w:hAnsi="Arial" w:cs="Arial"/>
          <w:b/>
          <w:noProof/>
          <w:color w:val="0A1D30" w:themeColor="text2" w:themeShade="BF"/>
          <w:sz w:val="28"/>
          <w:szCs w:val="28"/>
        </w:rPr>
        <w:drawing>
          <wp:inline distT="0" distB="0" distL="0" distR="0" wp14:anchorId="69CE3950" wp14:editId="2779957F">
            <wp:extent cx="1516380" cy="685800"/>
            <wp:effectExtent l="0" t="0" r="7620" b="0"/>
            <wp:docPr id="83887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380" cy="685800"/>
                    </a:xfrm>
                    <a:prstGeom prst="rect">
                      <a:avLst/>
                    </a:prstGeom>
                    <a:noFill/>
                    <a:ln>
                      <a:noFill/>
                    </a:ln>
                  </pic:spPr>
                </pic:pic>
              </a:graphicData>
            </a:graphic>
          </wp:inline>
        </w:drawing>
      </w:r>
    </w:p>
    <w:p w14:paraId="75C9A224" w14:textId="77777777" w:rsidR="00EA1102" w:rsidRDefault="00EA1102" w:rsidP="00EA1102">
      <w:pPr>
        <w:jc w:val="center"/>
        <w:rPr>
          <w:rFonts w:ascii="Arial" w:hAnsi="Arial" w:cs="Arial"/>
          <w:b/>
          <w:color w:val="0A1D30" w:themeColor="text2" w:themeShade="BF"/>
          <w:sz w:val="28"/>
          <w:szCs w:val="28"/>
        </w:rPr>
      </w:pPr>
    </w:p>
    <w:p w14:paraId="33C94876" w14:textId="77777777" w:rsidR="00EA1102" w:rsidRPr="00DD53DD" w:rsidRDefault="00EA1102" w:rsidP="00EA1102">
      <w:pPr>
        <w:autoSpaceDE w:val="0"/>
        <w:autoSpaceDN w:val="0"/>
        <w:adjustRightInd w:val="0"/>
        <w:ind w:right="-54"/>
        <w:jc w:val="center"/>
        <w:rPr>
          <w:rFonts w:cs="Calibri"/>
          <w:b/>
          <w:bCs/>
          <w:sz w:val="28"/>
          <w:szCs w:val="28"/>
        </w:rPr>
      </w:pPr>
      <w:r w:rsidRPr="00DD53DD">
        <w:rPr>
          <w:rFonts w:cs="Calibri"/>
          <w:b/>
          <w:bCs/>
          <w:sz w:val="28"/>
          <w:szCs w:val="28"/>
        </w:rPr>
        <w:t>COMMUNITY REINVESTMENT ACT NOTICE</w:t>
      </w:r>
    </w:p>
    <w:p w14:paraId="1D110734" w14:textId="77777777" w:rsidR="00EA1102" w:rsidRDefault="002F38C2" w:rsidP="00EA1102">
      <w:pPr>
        <w:jc w:val="center"/>
        <w:rPr>
          <w:rFonts w:ascii="Arial Narrow" w:hAnsi="Arial Narrow"/>
          <w:b/>
          <w:sz w:val="28"/>
          <w:szCs w:val="28"/>
        </w:rPr>
      </w:pPr>
      <w:r>
        <w:rPr>
          <w:rFonts w:ascii="Arial Narrow" w:hAnsi="Arial Narrow"/>
          <w:b/>
          <w:sz w:val="28"/>
          <w:szCs w:val="28"/>
        </w:rPr>
        <w:pict w14:anchorId="3ECBBFBA">
          <v:rect id="_x0000_i1025" style="width:462.4pt;height:1.75pt" o:hrpct="988" o:hralign="center" o:hrstd="t" o:hrnoshade="t" o:hr="t" fillcolor="#ffc000" stroked="f"/>
        </w:pict>
      </w:r>
    </w:p>
    <w:p w14:paraId="4C6A764E" w14:textId="77777777" w:rsidR="00EA1102" w:rsidRPr="00EA1102" w:rsidRDefault="00EA1102" w:rsidP="00EA1102">
      <w:pPr>
        <w:spacing w:after="200" w:line="276" w:lineRule="auto"/>
        <w:jc w:val="both"/>
        <w:rPr>
          <w:rFonts w:ascii="Calibri" w:eastAsia="Calibri" w:hAnsi="Calibri" w:cs="Calibri"/>
        </w:rPr>
      </w:pPr>
    </w:p>
    <w:p w14:paraId="2B496002" w14:textId="77777777" w:rsidR="00EA1102" w:rsidRPr="00EA1102" w:rsidRDefault="00EA1102" w:rsidP="00EA1102">
      <w:pPr>
        <w:spacing w:after="200" w:line="276" w:lineRule="auto"/>
        <w:jc w:val="both"/>
        <w:rPr>
          <w:rFonts w:ascii="Calibri" w:eastAsia="Calibri" w:hAnsi="Calibri" w:cs="Calibri"/>
        </w:rPr>
      </w:pPr>
      <w:r w:rsidRPr="00EA1102">
        <w:rPr>
          <w:rFonts w:ascii="Calibri" w:eastAsia="Calibri" w:hAnsi="Calibri" w:cs="Calibri"/>
        </w:rPr>
        <w:t>Under the Federal Community Reinvestment Act (CRA), the Comptroller of the Currency (OCC) evaluates our record of helping to meet the credit needs of this community consistent with safe and sound operations. The OCC also takes this record into account when deciding on certain applications submitted by us.</w:t>
      </w:r>
    </w:p>
    <w:p w14:paraId="38F5061E" w14:textId="77777777" w:rsidR="00EA1102" w:rsidRPr="00EA1102" w:rsidRDefault="00EA1102" w:rsidP="00EA1102">
      <w:pPr>
        <w:spacing w:after="200" w:line="276" w:lineRule="auto"/>
        <w:jc w:val="both"/>
        <w:rPr>
          <w:rFonts w:ascii="Calibri" w:eastAsia="Calibri" w:hAnsi="Calibri" w:cs="Calibri"/>
        </w:rPr>
      </w:pPr>
      <w:r w:rsidRPr="00EA1102">
        <w:rPr>
          <w:rFonts w:ascii="Calibri" w:eastAsia="Calibri" w:hAnsi="Calibri" w:cs="Calibri"/>
        </w:rPr>
        <w:t>Your involvement is encouraged.</w:t>
      </w:r>
    </w:p>
    <w:p w14:paraId="2AF87B20" w14:textId="77777777" w:rsidR="00EA1102" w:rsidRPr="00EA1102" w:rsidRDefault="00EA1102" w:rsidP="00EA1102">
      <w:pPr>
        <w:spacing w:after="200" w:line="276" w:lineRule="auto"/>
        <w:jc w:val="both"/>
        <w:rPr>
          <w:rFonts w:ascii="Calibri" w:eastAsia="Calibri" w:hAnsi="Calibri" w:cs="Calibri"/>
        </w:rPr>
      </w:pPr>
      <w:r w:rsidRPr="00EA1102">
        <w:rPr>
          <w:rFonts w:ascii="Calibri" w:eastAsia="Calibri" w:hAnsi="Calibri" w:cs="Calibri"/>
        </w:rPr>
        <w:t xml:space="preserve">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OCC; and comments received from the public relating to our performance in helping to meet community credit needs, as well as our responses to those comments. You may review this information today. </w:t>
      </w:r>
    </w:p>
    <w:p w14:paraId="19984661" w14:textId="7B6BEF68" w:rsidR="00EA1102" w:rsidRPr="00EA1102" w:rsidRDefault="00EA1102" w:rsidP="00EA1102">
      <w:pPr>
        <w:spacing w:after="200" w:line="276" w:lineRule="auto"/>
        <w:jc w:val="both"/>
        <w:rPr>
          <w:rFonts w:ascii="Calibri" w:eastAsia="Calibri" w:hAnsi="Calibri" w:cs="Calibri"/>
        </w:rPr>
      </w:pPr>
      <w:r w:rsidRPr="00EA1102">
        <w:rPr>
          <w:rFonts w:ascii="Calibri" w:eastAsia="Calibri" w:hAnsi="Calibri" w:cs="Calibri"/>
        </w:rPr>
        <w:t xml:space="preserve">At least 30 days before the beginning of each quarter, the OCC publishes a nationwide list of the banks and savings </w:t>
      </w:r>
      <w:proofErr w:type="gramStart"/>
      <w:r w:rsidRPr="00EA1102">
        <w:rPr>
          <w:rFonts w:ascii="Calibri" w:eastAsia="Calibri" w:hAnsi="Calibri" w:cs="Calibri"/>
        </w:rPr>
        <w:t>association</w:t>
      </w:r>
      <w:proofErr w:type="gramEnd"/>
      <w:r w:rsidRPr="00EA1102">
        <w:rPr>
          <w:rFonts w:ascii="Calibri" w:eastAsia="Calibri" w:hAnsi="Calibri" w:cs="Calibri"/>
        </w:rPr>
        <w:t xml:space="preserve"> that are scheduled for CRA examination in that quarter.  This list is available from the OCC Deputy Comptroller, Northeast Region, Office of the Comptroller of the Currency, located at 7 Times Square, 10th Floor, New York, NY 10036. You may send written comments about our performance in helping to meet community credit needs to Nichole Zesiger, The First National Bank of Dennison, 105 Grant Street, Dennison, Ohio 44621 and to the OCC, at 7 Times Square, 10th Floor, New York, NY 10036.  Your letter, together with any response by us, will be considered by the OCC in evaluating our CRA performance and may be made public.</w:t>
      </w:r>
    </w:p>
    <w:p w14:paraId="01D0C338" w14:textId="77777777" w:rsidR="00EA1102" w:rsidRPr="00EA1102" w:rsidRDefault="00EA1102" w:rsidP="00EA1102">
      <w:pPr>
        <w:spacing w:after="200" w:line="276" w:lineRule="auto"/>
        <w:jc w:val="both"/>
        <w:rPr>
          <w:rFonts w:ascii="Calibri" w:eastAsia="Calibri" w:hAnsi="Calibri" w:cs="Calibri"/>
        </w:rPr>
      </w:pPr>
      <w:r w:rsidRPr="00EA1102">
        <w:rPr>
          <w:rFonts w:ascii="Calibri" w:eastAsia="Calibri" w:hAnsi="Calibri" w:cs="Calibri"/>
        </w:rPr>
        <w:t>You may ask to look at any comments received by the OCC. You may also request from the OCC an announcement of our applications covered by the CRA filed with the OCC. We are an affiliate of FNB, INC., a bank holding company. You may request from the Officer in Charge of Supervision, Federal Reserve Bank of Cleveland, P.O. Box 6387, Cleveland Ohio 44101 an announcement of applications covered by the CRA filed by bank holding companies.</w:t>
      </w:r>
    </w:p>
    <w:p w14:paraId="52816905" w14:textId="77777777" w:rsidR="00EA1102" w:rsidRPr="003B722A" w:rsidRDefault="00EA1102" w:rsidP="00EA1102">
      <w:pPr>
        <w:jc w:val="center"/>
        <w:rPr>
          <w:rFonts w:ascii="Arial Narrow" w:hAnsi="Arial Narrow" w:cs="Arial"/>
          <w:b/>
          <w:color w:val="0A1D30" w:themeColor="text2" w:themeShade="BF"/>
          <w:sz w:val="28"/>
          <w:szCs w:val="28"/>
        </w:rPr>
      </w:pPr>
    </w:p>
    <w:sectPr w:rsidR="00EA1102" w:rsidRPr="003B722A" w:rsidSect="00EA1102">
      <w:footerReference w:type="default" r:id="rId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859F" w14:textId="77777777" w:rsidR="00EA1102" w:rsidRDefault="00EA1102" w:rsidP="00EA1102">
      <w:r>
        <w:separator/>
      </w:r>
    </w:p>
  </w:endnote>
  <w:endnote w:type="continuationSeparator" w:id="0">
    <w:p w14:paraId="78AA4D87" w14:textId="77777777" w:rsidR="00EA1102" w:rsidRDefault="00EA1102" w:rsidP="00EA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27B9" w14:textId="175D1011" w:rsidR="00EA1102" w:rsidRDefault="00EA1102">
    <w:pPr>
      <w:pStyle w:val="Footer"/>
    </w:pPr>
    <w:r>
      <w:tab/>
    </w:r>
    <w:r>
      <w:tab/>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72D9" w14:textId="77777777" w:rsidR="00EA1102" w:rsidRDefault="00EA1102" w:rsidP="00EA1102">
      <w:r>
        <w:separator/>
      </w:r>
    </w:p>
  </w:footnote>
  <w:footnote w:type="continuationSeparator" w:id="0">
    <w:p w14:paraId="30959D86" w14:textId="77777777" w:rsidR="00EA1102" w:rsidRDefault="00EA1102" w:rsidP="00EA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02"/>
    <w:rsid w:val="00192DCF"/>
    <w:rsid w:val="002F38C2"/>
    <w:rsid w:val="0061205E"/>
    <w:rsid w:val="00EA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711D1F"/>
  <w15:chartTrackingRefBased/>
  <w15:docId w15:val="{040ADAF9-6A81-48C2-ABDA-E0A1C4C8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11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11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11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110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A110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110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A110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A110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110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102"/>
    <w:rPr>
      <w:rFonts w:eastAsiaTheme="majorEastAsia" w:cstheme="majorBidi"/>
      <w:color w:val="272727" w:themeColor="text1" w:themeTint="D8"/>
    </w:rPr>
  </w:style>
  <w:style w:type="paragraph" w:styleId="Title">
    <w:name w:val="Title"/>
    <w:basedOn w:val="Normal"/>
    <w:next w:val="Normal"/>
    <w:link w:val="TitleChar"/>
    <w:uiPriority w:val="10"/>
    <w:qFormat/>
    <w:rsid w:val="00EA11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1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10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1102"/>
    <w:rPr>
      <w:i/>
      <w:iCs/>
      <w:color w:val="404040" w:themeColor="text1" w:themeTint="BF"/>
    </w:rPr>
  </w:style>
  <w:style w:type="paragraph" w:styleId="ListParagraph">
    <w:name w:val="List Paragraph"/>
    <w:basedOn w:val="Normal"/>
    <w:uiPriority w:val="34"/>
    <w:qFormat/>
    <w:rsid w:val="00EA110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A1102"/>
    <w:rPr>
      <w:i/>
      <w:iCs/>
      <w:color w:val="0F4761" w:themeColor="accent1" w:themeShade="BF"/>
    </w:rPr>
  </w:style>
  <w:style w:type="paragraph" w:styleId="IntenseQuote">
    <w:name w:val="Intense Quote"/>
    <w:basedOn w:val="Normal"/>
    <w:next w:val="Normal"/>
    <w:link w:val="IntenseQuoteChar"/>
    <w:uiPriority w:val="30"/>
    <w:qFormat/>
    <w:rsid w:val="00EA11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A1102"/>
    <w:rPr>
      <w:i/>
      <w:iCs/>
      <w:color w:val="0F4761" w:themeColor="accent1" w:themeShade="BF"/>
    </w:rPr>
  </w:style>
  <w:style w:type="character" w:styleId="IntenseReference">
    <w:name w:val="Intense Reference"/>
    <w:basedOn w:val="DefaultParagraphFont"/>
    <w:uiPriority w:val="32"/>
    <w:qFormat/>
    <w:rsid w:val="00EA1102"/>
    <w:rPr>
      <w:b/>
      <w:bCs/>
      <w:smallCaps/>
      <w:color w:val="0F4761" w:themeColor="accent1" w:themeShade="BF"/>
      <w:spacing w:val="5"/>
    </w:rPr>
  </w:style>
  <w:style w:type="paragraph" w:styleId="Header">
    <w:name w:val="header"/>
    <w:basedOn w:val="Normal"/>
    <w:link w:val="HeaderChar"/>
    <w:uiPriority w:val="99"/>
    <w:unhideWhenUsed/>
    <w:rsid w:val="00EA1102"/>
    <w:pPr>
      <w:tabs>
        <w:tab w:val="center" w:pos="4680"/>
        <w:tab w:val="right" w:pos="9360"/>
      </w:tabs>
    </w:pPr>
  </w:style>
  <w:style w:type="character" w:customStyle="1" w:styleId="HeaderChar">
    <w:name w:val="Header Char"/>
    <w:basedOn w:val="DefaultParagraphFont"/>
    <w:link w:val="Header"/>
    <w:uiPriority w:val="99"/>
    <w:rsid w:val="00EA110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A1102"/>
    <w:pPr>
      <w:tabs>
        <w:tab w:val="center" w:pos="4680"/>
        <w:tab w:val="right" w:pos="9360"/>
      </w:tabs>
    </w:pPr>
  </w:style>
  <w:style w:type="character" w:customStyle="1" w:styleId="FooterChar">
    <w:name w:val="Footer Char"/>
    <w:basedOn w:val="DefaultParagraphFont"/>
    <w:link w:val="Footer"/>
    <w:uiPriority w:val="99"/>
    <w:rsid w:val="00EA110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 Tilton</dc:creator>
  <cp:keywords/>
  <dc:description/>
  <cp:lastModifiedBy>Tiffany B. Tilton</cp:lastModifiedBy>
  <cp:revision>2</cp:revision>
  <dcterms:created xsi:type="dcterms:W3CDTF">2026-04-21T16:55:00Z</dcterms:created>
  <dcterms:modified xsi:type="dcterms:W3CDTF">2026-05-07T18:29:00Z</dcterms:modified>
</cp:coreProperties>
</file>